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2F96" w14:textId="77777777" w:rsidR="003659C3" w:rsidRPr="00A64CFF" w:rsidRDefault="00A64CFF" w:rsidP="00A64CFF">
      <w:pPr>
        <w:spacing w:after="100" w:afterAutospacing="1" w:line="390" w:lineRule="atLeast"/>
        <w:jc w:val="center"/>
        <w:rPr>
          <w:rFonts w:ascii="Times New Roman" w:eastAsia="Times New Roman" w:hAnsi="Times New Roman" w:cs="Times New Roman"/>
          <w:b/>
          <w:color w:val="54565C"/>
          <w:sz w:val="28"/>
          <w:szCs w:val="28"/>
          <w:lang w:eastAsia="ru-RU"/>
        </w:rPr>
      </w:pPr>
      <w:r w:rsidRPr="00A64CFF">
        <w:rPr>
          <w:rFonts w:ascii="Times New Roman" w:eastAsia="Times New Roman" w:hAnsi="Times New Roman" w:cs="Times New Roman"/>
          <w:b/>
          <w:color w:val="54565C"/>
          <w:sz w:val="28"/>
          <w:szCs w:val="28"/>
          <w:lang w:eastAsia="ru-RU"/>
        </w:rPr>
        <w:t>Условия Договора оказания услуг по передаче электрической энергии</w:t>
      </w:r>
    </w:p>
    <w:p w14:paraId="532C5400" w14:textId="77777777" w:rsidR="003659C3" w:rsidRPr="003659C3" w:rsidRDefault="003659C3" w:rsidP="00A64CF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4565C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color w:val="54565C"/>
          <w:sz w:val="24"/>
          <w:szCs w:val="24"/>
          <w:lang w:eastAsia="ru-RU"/>
        </w:rPr>
        <w:t xml:space="preserve">Общие принципы и порядок оказания сетевыми копаниями услуг по передаче электрической энергии определены Правилами недискриминационного доступа к услугам по передаче электрической энергии и оказания этих услуг, утвержденных Постановлением Правительства РФ от 27.12.2004 № 861. </w:t>
      </w:r>
    </w:p>
    <w:p w14:paraId="669F5AEA" w14:textId="77777777" w:rsidR="003659C3" w:rsidRPr="003659C3" w:rsidRDefault="003659C3" w:rsidP="00A64CFF">
      <w:pPr>
        <w:spacing w:after="0" w:line="360" w:lineRule="auto"/>
        <w:jc w:val="both"/>
        <w:rPr>
          <w:rFonts w:ascii="Times New Roman" w:eastAsia="Times New Roman" w:hAnsi="Times New Roman" w:cs="Times New Roman"/>
          <w:color w:val="54565C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color w:val="54565C"/>
          <w:sz w:val="24"/>
          <w:szCs w:val="24"/>
          <w:lang w:eastAsia="ru-RU"/>
        </w:rPr>
        <w:t xml:space="preserve">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(далее - договор). </w:t>
      </w:r>
    </w:p>
    <w:p w14:paraId="0A6FB7D3" w14:textId="77777777" w:rsidR="003659C3" w:rsidRPr="003659C3" w:rsidRDefault="003659C3" w:rsidP="003659C3">
      <w:pPr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54565C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b/>
          <w:bCs/>
          <w:color w:val="54565C"/>
          <w:sz w:val="24"/>
          <w:szCs w:val="24"/>
          <w:lang w:eastAsia="ru-RU"/>
        </w:rPr>
        <w:t>Договор является публичным и обязательным к заключению для сетевой организации. Договор не может быть заключен ранее заключения договора об осуществлении технологического присоединения энергопринимающих устройств (энергетических установок) юридических и физических лиц к электрическим сетям, за исключением случаев, когда потребителем услуг выступают:</w:t>
      </w:r>
      <w:r w:rsidRPr="003659C3">
        <w:rPr>
          <w:rFonts w:ascii="Times New Roman" w:eastAsia="Times New Roman" w:hAnsi="Times New Roman" w:cs="Times New Roman"/>
          <w:color w:val="54565C"/>
          <w:sz w:val="24"/>
          <w:szCs w:val="24"/>
          <w:lang w:eastAsia="ru-RU"/>
        </w:rPr>
        <w:t xml:space="preserve"> </w:t>
      </w:r>
    </w:p>
    <w:p w14:paraId="7AEBD3F1" w14:textId="77777777" w:rsidR="003659C3" w:rsidRPr="003659C3" w:rsidRDefault="003659C3" w:rsidP="003659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лица, чьи энергопринимающие устройства технологически присоединены к электрической сети;</w:t>
      </w:r>
    </w:p>
    <w:p w14:paraId="442ED0E4" w14:textId="77777777" w:rsidR="003659C3" w:rsidRPr="003659C3" w:rsidRDefault="003659C3" w:rsidP="003659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лица, осуществляющие экспорт (импорт) электрической энергии и не имеющие во владении, в пользовании и распоряжении объекты электроэнергетики, присоединенные к электрической сети;</w:t>
      </w:r>
    </w:p>
    <w:p w14:paraId="53109CE9" w14:textId="77777777" w:rsidR="003659C3" w:rsidRPr="003659C3" w:rsidRDefault="003659C3" w:rsidP="003659C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энергосбытовые организации (гарантирующие поставщики), заключающие договор в интересах обслуживаемых ими потребителей электрической энергии.</w:t>
      </w:r>
    </w:p>
    <w:p w14:paraId="3F606791" w14:textId="77777777" w:rsidR="003659C3" w:rsidRPr="003659C3" w:rsidRDefault="003659C3" w:rsidP="003659C3">
      <w:pPr>
        <w:spacing w:after="100" w:afterAutospacing="1" w:line="390" w:lineRule="atLeast"/>
        <w:jc w:val="both"/>
        <w:rPr>
          <w:rFonts w:ascii="Times New Roman" w:eastAsia="Times New Roman" w:hAnsi="Times New Roman" w:cs="Times New Roman"/>
          <w:color w:val="54565C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color w:val="54565C"/>
          <w:sz w:val="24"/>
          <w:szCs w:val="24"/>
          <w:lang w:eastAsia="ru-RU"/>
        </w:rPr>
        <w:t xml:space="preserve">В рамках договора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 </w:t>
      </w:r>
    </w:p>
    <w:p w14:paraId="7072061B" w14:textId="77777777" w:rsidR="003659C3" w:rsidRPr="003659C3" w:rsidRDefault="003659C3" w:rsidP="00A64CFF">
      <w:pPr>
        <w:spacing w:after="100" w:afterAutospacing="1" w:line="390" w:lineRule="atLeast"/>
        <w:jc w:val="center"/>
        <w:rPr>
          <w:rFonts w:ascii="Times New Roman" w:eastAsia="Times New Roman" w:hAnsi="Times New Roman" w:cs="Times New Roman"/>
          <w:color w:val="54565C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b/>
          <w:bCs/>
          <w:color w:val="54565C"/>
          <w:sz w:val="24"/>
          <w:szCs w:val="24"/>
          <w:lang w:eastAsia="ru-RU"/>
        </w:rPr>
        <w:t>Договор содержит следующие существенные условия:</w:t>
      </w:r>
    </w:p>
    <w:p w14:paraId="6161313E" w14:textId="77777777" w:rsidR="003659C3" w:rsidRPr="003659C3" w:rsidRDefault="003659C3" w:rsidP="003659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величина максимальной мощности энергопринимающих устройств, технологически присоединенных в установленном законодательством Российской Федерации порядке к электрической сети, с распределением указанной величины по каждой точке присоединения; </w:t>
      </w:r>
    </w:p>
    <w:p w14:paraId="68AB060A" w14:textId="77777777" w:rsidR="003659C3" w:rsidRPr="003659C3" w:rsidRDefault="003659C3" w:rsidP="003659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величина заявленной мощности, в пределах которой сетевая организация принимает на себя обязательства обеспечить передачу электрической энергии в указанных в договоре точках присоединения. При этом в случае опосредованного присоединения величина заявленной мощности в точке присоединения каждого из энергопринимающих устройств потребителей услуг определяется в соответствии с величиной потребления электрической энергии соответствующим потребителем в часы пиковых нагрузок энергосистемы, ежегодно определяемых системным оператором; </w:t>
      </w:r>
    </w:p>
    <w:p w14:paraId="0413AAC4" w14:textId="79457E35" w:rsidR="003659C3" w:rsidRPr="003659C3" w:rsidRDefault="003659C3" w:rsidP="003659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ответственность потребителя услуг и сетевой организации за состояние и обслуживание объектов электросетевого хозяйства, которая определяется балансовой принадлежностью сетевой организации и потребителя услуг (потребителя электрической энергии, в интересах которого заключается договор) и фиксируется в акте </w:t>
      </w:r>
      <w:r w:rsidR="0073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осуществлении  технологического присоединения электроустановок к электрическим </w:t>
      </w:r>
      <w:r w:rsidR="00735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сетям или в акте </w:t>
      </w: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разграничения балансовой принадлежности электросетей и акте эксплуатационной ответственности сторон, являющихся приложениями к договору; </w:t>
      </w:r>
      <w:r w:rsidR="00C65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8AE1B8" w14:textId="77777777" w:rsidR="003659C3" w:rsidRPr="003659C3" w:rsidRDefault="003659C3" w:rsidP="003659C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обязательства сторон по оборудованию точек присоединения средствами измерения электрической энергии, в том числе измерительными приборами, соответствующими установленным законодательством Российской Федерации требованиям, а также по обеспечению их работоспособности и соблюдению в течение всего срока действия договора эксплуатационных требований к ним, установленных уполномоченным органом по техническому регулированию и метрологии и изготовителем. До исполнения обязательств по оборудованию точек присоединения приборами учета стороны применяют согласованный ими расчетный способ учета электрической энергии (мощности), применяемый при определении объемов переданной электроэнергии (мощности). </w:t>
      </w:r>
    </w:p>
    <w:p w14:paraId="48021261" w14:textId="77777777" w:rsidR="003659C3" w:rsidRPr="003659C3" w:rsidRDefault="003659C3" w:rsidP="0036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исполнении договора потребитель услуг обязан: </w:t>
      </w:r>
    </w:p>
    <w:p w14:paraId="1287F878" w14:textId="77777777" w:rsidR="008427C8" w:rsidRPr="008427C8" w:rsidRDefault="008427C8" w:rsidP="008427C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2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8427C8">
        <w:rPr>
          <w:rFonts w:ascii="Times New Roman" w:hAnsi="Times New Roman" w:cs="Times New Roman"/>
          <w:sz w:val="24"/>
          <w:szCs w:val="24"/>
        </w:rPr>
        <w:t>соблюдать предусмотренный договором и документами о технологическом присоединении режим потребления (производства) электрической энергии (мощности)</w:t>
      </w:r>
    </w:p>
    <w:p w14:paraId="0553E1BF" w14:textId="77777777" w:rsidR="003659C3" w:rsidRPr="000B4568" w:rsidRDefault="003659C3" w:rsidP="000B456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оплачивать услуги сетевой организации по передаче электрической энергии в размере и сроки, </w:t>
      </w:r>
      <w:r w:rsidR="008427C8" w:rsidRPr="000B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определены </w:t>
      </w:r>
      <w:hyperlink r:id="rId5" w:history="1">
        <w:r w:rsidR="008427C8" w:rsidRPr="000B4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15(1)</w:t>
        </w:r>
      </w:hyperlink>
      <w:r w:rsidR="008427C8" w:rsidRPr="000B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="008427C8" w:rsidRPr="000B4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15(3)</w:t>
        </w:r>
      </w:hyperlink>
      <w:r w:rsidR="008427C8" w:rsidRPr="000B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history="1">
        <w:r w:rsidR="008427C8" w:rsidRPr="000B45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15(5)</w:t>
        </w:r>
      </w:hyperlink>
      <w:r w:rsidR="008427C8" w:rsidRPr="000B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 w:rsidR="000B4568" w:rsidRPr="000B4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недискриминационного доступа к услугам по передаче электрической энергии и оказания этих услуг, утвержденных постановлением Правительства РФ от27.12.2004 №861;</w:t>
      </w:r>
    </w:p>
    <w:p w14:paraId="7E08212B" w14:textId="77777777" w:rsidR="00E77E94" w:rsidRPr="00E77E94" w:rsidRDefault="003659C3" w:rsidP="00E77E9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77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E77E94" w:rsidRPr="00E77E94">
        <w:rPr>
          <w:rFonts w:ascii="Times New Roman" w:hAnsi="Times New Roman" w:cs="Times New Roman"/>
          <w:sz w:val="24"/>
          <w:szCs w:val="24"/>
        </w:rPr>
        <w:t>поддерживать в надлежащем техническом состоянии принадлежащие ему средства релейной защиты и противоаварийной автоматики, приборы учета электрической энергии (мощности) и измерительные трансформаторы, используемые для коммерческого учета электрической энергии (мощности), устройства, обеспечивающие регулирование реактивной мощности, а также иные устройства, необходимые для поддержания требуемых параметров надежности и качества электрической энергии, в том числе обеспечивать сохранность и целостность установленных в отношении энергопринимающих устройств потребителя приборов учета электрической энергии (мощности) и (или) измерительных трансформаторов, а также контрольных пломб и (или) знаков визуального контроля, в случае если прибор учета и (или) измерительные трансформаторы установлены в границах земельного участка, принадлежащего такому потребителю на праве собственности или ином законном основании, на котором расположены энергопринимающие устройства потребителя (границы земельного участка) (внутри помещений, границах балансовой и (или) эксплуатационной ответственности), и соблюдать требования, установленные для технологического присоединения и эксплуатации указанных средств и устройств,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</w:r>
    </w:p>
    <w:p w14:paraId="18ED6516" w14:textId="77777777" w:rsidR="008C1198" w:rsidRPr="008C1198" w:rsidRDefault="003659C3" w:rsidP="008C1198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8C1198" w:rsidRPr="008C11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C1198" w:rsidRPr="008C1198">
        <w:rPr>
          <w:rFonts w:ascii="Times New Roman" w:hAnsi="Times New Roman" w:cs="Times New Roman"/>
          <w:sz w:val="24"/>
          <w:szCs w:val="24"/>
        </w:rPr>
        <w:t xml:space="preserve">существлять эксплуатацию принадлежащих ему энергопринимающих устройств в соответствии с </w:t>
      </w:r>
      <w:hyperlink r:id="rId8" w:history="1">
        <w:r w:rsidR="008C1198" w:rsidRPr="008C1198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8C1198" w:rsidRPr="008C1198">
        <w:rPr>
          <w:rFonts w:ascii="Times New Roman" w:hAnsi="Times New Roman" w:cs="Times New Roman"/>
          <w:sz w:val="24"/>
          <w:szCs w:val="24"/>
        </w:rPr>
        <w:t xml:space="preserve"> технологического функционирования электроэнергетических систем, правилами технической эксплуатации, техники безопасности и оперативно-диспетчерского управления;</w:t>
      </w:r>
    </w:p>
    <w:p w14:paraId="664BB736" w14:textId="77777777" w:rsidR="003659C3" w:rsidRPr="003659C3" w:rsidRDefault="003659C3" w:rsidP="008C1198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соблюдать заданные в установленном порядке сетевой организацией,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</w:p>
    <w:p w14:paraId="01C071A1" w14:textId="77777777" w:rsidR="008C1198" w:rsidRPr="008C1198" w:rsidRDefault="003659C3" w:rsidP="008C1198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1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е) </w:t>
      </w:r>
      <w:r w:rsidR="008C1198" w:rsidRPr="008C1198">
        <w:rPr>
          <w:rFonts w:ascii="Times New Roman" w:hAnsi="Times New Roman" w:cs="Times New Roman"/>
          <w:sz w:val="24"/>
          <w:szCs w:val="24"/>
        </w:rPr>
        <w:t>поддерживать на границе балансовой принадлежности значения показателей качества электрической энергии, обусловленные работой его энергопринимающих устройств, соответствующие обязательным требованиям, в том числе соблюдать установленные договором значения соотношения потребления активной и реактивной мощности, определяемые для отдельных энергопринимающих устройств (групп энергопринимающих устройств);</w:t>
      </w:r>
    </w:p>
    <w:p w14:paraId="4ED3ED40" w14:textId="77777777" w:rsidR="003659C3" w:rsidRPr="008C1198" w:rsidRDefault="003659C3" w:rsidP="00C03E71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выполнять требования сетевой организации </w:t>
      </w:r>
      <w:r w:rsidR="000B4568" w:rsidRPr="008C1198">
        <w:rPr>
          <w:rFonts w:ascii="Times New Roman" w:hAnsi="Times New Roman" w:cs="Times New Roman"/>
          <w:sz w:val="24"/>
          <w:szCs w:val="24"/>
        </w:rPr>
        <w:t>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потребления;</w:t>
      </w:r>
      <w:r w:rsidRPr="008C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341A032" w14:textId="77777777" w:rsidR="003659C3" w:rsidRPr="003659C3" w:rsidRDefault="003659C3" w:rsidP="003659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представлять в сетевую организацию технологическую информацию (главные электрические схемы, характеристики оборудования, схемы устройств релейной защиты и автоматики, оперативные данные о технологических режимах работы оборудования); </w:t>
      </w:r>
    </w:p>
    <w:p w14:paraId="77AB76E0" w14:textId="77777777" w:rsidR="003659C3" w:rsidRPr="003659C3" w:rsidRDefault="003659C3" w:rsidP="003659C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информировать сетевую организацию в установленные договором сроки об аварийных ситуациях на энергетических объектах, плановом, текущем и капитальном ремонте на них; </w:t>
      </w:r>
    </w:p>
    <w:p w14:paraId="07FC71FB" w14:textId="77777777" w:rsidR="00254AFF" w:rsidRPr="0048072D" w:rsidRDefault="003659C3" w:rsidP="0048072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r w:rsidR="00254AFF" w:rsidRPr="0048072D">
        <w:rPr>
          <w:rFonts w:ascii="Times New Roman" w:hAnsi="Times New Roman" w:cs="Times New Roman"/>
          <w:sz w:val="24"/>
          <w:szCs w:val="24"/>
        </w:rPr>
        <w:t>информировать сетевую организацию об объеме участия в противоаварийном и автоматическом режимном управлении, а также о перечне и мощности электроприемников потребителя услуг, которые могут быть отключены устройствами противоаварийной автоматики;</w:t>
      </w:r>
    </w:p>
    <w:p w14:paraId="7AAD4E5F" w14:textId="77777777" w:rsidR="003659C3" w:rsidRDefault="003659C3" w:rsidP="005B2DF9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случаях, установленных договором. </w:t>
      </w:r>
    </w:p>
    <w:p w14:paraId="65A48872" w14:textId="77777777" w:rsidR="0048072D" w:rsidRPr="0048072D" w:rsidRDefault="0048072D" w:rsidP="0048072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D">
        <w:rPr>
          <w:rFonts w:ascii="Times New Roman" w:hAnsi="Times New Roman" w:cs="Times New Roman"/>
          <w:sz w:val="24"/>
          <w:szCs w:val="24"/>
        </w:rPr>
        <w:t>м)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(мощности) с использованием приборов учета, в том числе в части:</w:t>
      </w:r>
    </w:p>
    <w:p w14:paraId="74137A04" w14:textId="77777777" w:rsidR="0048072D" w:rsidRPr="0048072D" w:rsidRDefault="0048072D" w:rsidP="0048072D">
      <w:pPr>
        <w:pStyle w:val="a4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D">
        <w:rPr>
          <w:rFonts w:ascii="Times New Roman" w:hAnsi="Times New Roman" w:cs="Times New Roman"/>
          <w:sz w:val="24"/>
          <w:szCs w:val="24"/>
        </w:rPr>
        <w:t>допуска установленного прибора учета (измерительного комплекса) в эксплуатацию;</w:t>
      </w:r>
    </w:p>
    <w:p w14:paraId="2A3CEE48" w14:textId="77777777" w:rsidR="0048072D" w:rsidRPr="0048072D" w:rsidRDefault="0048072D" w:rsidP="0048072D">
      <w:pPr>
        <w:pStyle w:val="a4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D">
        <w:rPr>
          <w:rFonts w:ascii="Times New Roman" w:hAnsi="Times New Roman" w:cs="Times New Roman"/>
          <w:sz w:val="24"/>
          <w:szCs w:val="24"/>
        </w:rPr>
        <w:t>эксплуатации установленного потребителем услуг прибора учета (измерительного комплекса, измерительного трансформатора);</w:t>
      </w:r>
    </w:p>
    <w:p w14:paraId="7E8DF953" w14:textId="77777777" w:rsidR="0048072D" w:rsidRPr="0048072D" w:rsidRDefault="0048072D" w:rsidP="0048072D">
      <w:pPr>
        <w:pStyle w:val="a4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D">
        <w:rPr>
          <w:rFonts w:ascii="Times New Roman" w:hAnsi="Times New Roman" w:cs="Times New Roman"/>
          <w:sz w:val="24"/>
          <w:szCs w:val="24"/>
        </w:rPr>
        <w:t>передачи показаний приборов учета;</w:t>
      </w:r>
    </w:p>
    <w:p w14:paraId="27A2D5B2" w14:textId="77777777" w:rsidR="0048072D" w:rsidRPr="0048072D" w:rsidRDefault="0048072D" w:rsidP="0048072D">
      <w:pPr>
        <w:pStyle w:val="a4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D">
        <w:rPr>
          <w:rFonts w:ascii="Times New Roman" w:hAnsi="Times New Roman" w:cs="Times New Roman"/>
          <w:sz w:val="24"/>
          <w:szCs w:val="24"/>
        </w:rPr>
        <w:t>сообщения о выходе прибора учета из эксплуатации;</w:t>
      </w:r>
    </w:p>
    <w:p w14:paraId="2CECE0E9" w14:textId="77777777" w:rsidR="0048072D" w:rsidRPr="0048072D" w:rsidRDefault="0048072D" w:rsidP="0048072D">
      <w:pPr>
        <w:pStyle w:val="a4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D">
        <w:rPr>
          <w:rFonts w:ascii="Times New Roman" w:hAnsi="Times New Roman" w:cs="Times New Roman"/>
          <w:sz w:val="24"/>
          <w:szCs w:val="24"/>
        </w:rPr>
        <w:t>обеспечения доступа к месту установки прибора учета (измерительного комплекса, измерительного трансформатора);</w:t>
      </w:r>
    </w:p>
    <w:p w14:paraId="167D1CEB" w14:textId="77777777" w:rsidR="0048072D" w:rsidRPr="0048072D" w:rsidRDefault="0048072D" w:rsidP="0048072D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D">
        <w:rPr>
          <w:rFonts w:ascii="Times New Roman" w:hAnsi="Times New Roman" w:cs="Times New Roman"/>
          <w:sz w:val="24"/>
          <w:szCs w:val="24"/>
        </w:rPr>
        <w:t>н) обеспечивать соблюдение установленного актом согласования технологической и (или) аварийной брони режима потребления электрической энергии (мощности), а также уровня нагрузки технологической и (или) аварийной брони и сроков завершения технологического процесса при введении ограничения режима потребления электрической энергии;</w:t>
      </w:r>
    </w:p>
    <w:p w14:paraId="58CB27C8" w14:textId="77777777" w:rsidR="0048072D" w:rsidRPr="0048072D" w:rsidRDefault="0048072D" w:rsidP="0048072D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D">
        <w:rPr>
          <w:rFonts w:ascii="Times New Roman" w:hAnsi="Times New Roman" w:cs="Times New Roman"/>
          <w:sz w:val="24"/>
          <w:szCs w:val="24"/>
        </w:rPr>
        <w:t xml:space="preserve">о) обеспечивать проведение замеров на энергопринимающих устройствах (объектах электроэнергетики), в отношении которых заключен договор (за исключением энергопринимающих устройств (объектов электроэнергетики), в отношении которых установлены и введены в эксплуатацию приборы учета (измерительные комплексы) после 1 июля 2020 г.), и представлять сетевой организации информацию о результатах проведенных замеров в течение 3 рабочих дней с даты проведения соответствующего замера, кроме случаев наличия у потребителя электрической энергии системы учета, удаленный доступ к данным которой предоставлен сетевой организации, при получении от сетевой организации требования о проведении контрольных или внеочередных замеров с учетом периодичности таких замеров, установленной законодательством </w:t>
      </w:r>
      <w:r w:rsidRPr="0048072D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об электроэнергетике, в том числе в соответствии с заданием субъекта оперативно-диспетчерского управления в электроэнергетике;</w:t>
      </w:r>
    </w:p>
    <w:p w14:paraId="04C1F748" w14:textId="77777777" w:rsidR="0048072D" w:rsidRPr="0048072D" w:rsidRDefault="0048072D" w:rsidP="0048072D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D">
        <w:rPr>
          <w:rFonts w:ascii="Times New Roman" w:hAnsi="Times New Roman" w:cs="Times New Roman"/>
          <w:sz w:val="24"/>
          <w:szCs w:val="24"/>
        </w:rPr>
        <w:t xml:space="preserve">п) обеспечить предоставление проекта акта согласования технологической и (или) аварийной брони в адрес сетевой организации в течение 30 дней с даты заключения договора, если на эту дату у потребителя электрической энергии, ограничение режима потребления электрической энергии (мощности) которого может привести к экономическим, экологическим, социальным последствиям, категории которых определены в </w:t>
      </w:r>
      <w:hyperlink r:id="rId9" w:history="1">
        <w:r w:rsidRPr="0048072D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48072D">
        <w:rPr>
          <w:rFonts w:ascii="Times New Roman" w:hAnsi="Times New Roman" w:cs="Times New Roman"/>
          <w:sz w:val="24"/>
          <w:szCs w:val="24"/>
        </w:rPr>
        <w:t xml:space="preserve"> к Правилам полного и (или) частичного ограничения режима потребления электрической энергии, утвержденным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(далее - Правила полного и (или) частичного ограничения режима потребления электрической энергии), а также у потребителя электрической энергии, энергопринимающее устройство которого отнесено к первой категории надежности, отсутствовал акт согласования технологической и (или) аварийной брони, или в течение 30 дней с даты возникновения установленных настоящими Правилами оснований для изменения такого акта.</w:t>
      </w:r>
    </w:p>
    <w:p w14:paraId="20382D8B" w14:textId="77777777" w:rsidR="0048072D" w:rsidRPr="00254AFF" w:rsidRDefault="0048072D" w:rsidP="0048072D">
      <w:pPr>
        <w:pStyle w:val="a4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803AA" w14:textId="77777777" w:rsidR="003659C3" w:rsidRPr="003659C3" w:rsidRDefault="003659C3" w:rsidP="0036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исполнении договора сетевая организация обязана: </w:t>
      </w:r>
    </w:p>
    <w:p w14:paraId="4DF16640" w14:textId="77777777" w:rsidR="003659C3" w:rsidRPr="0048072D" w:rsidRDefault="003659C3" w:rsidP="0048072D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48072D" w:rsidRPr="0048072D">
        <w:rPr>
          <w:rFonts w:ascii="Times New Roman" w:hAnsi="Times New Roman" w:cs="Times New Roman"/>
          <w:sz w:val="24"/>
          <w:szCs w:val="24"/>
        </w:rPr>
        <w:t>обеспечить передачу электрической энергии в точке поставки потребителя услуг (потребителя электрической энергии, в интересах которого заключается договор), качество и параметры которой должны соответствовать обязательным требованиям, установленным нормативными правовыми актами Российской Федерации, регулирующими отношения в сфере электроэнергетики, с соблюдением величин аварийной и технологической брони;</w:t>
      </w:r>
    </w:p>
    <w:p w14:paraId="40EC88C1" w14:textId="77777777" w:rsidR="003659C3" w:rsidRPr="003659C3" w:rsidRDefault="003659C3" w:rsidP="0048072D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осуществлять передачу электрической энергии в соответствии с согласованной категорией надежности энергопринимающих устройств потребителя услуг (потребителя электрической энергии, в интересах которого заключается договор); </w:t>
      </w:r>
    </w:p>
    <w:p w14:paraId="4D473658" w14:textId="77777777" w:rsidR="003659C3" w:rsidRPr="0048072D" w:rsidRDefault="0048072D" w:rsidP="00964C99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72D">
        <w:rPr>
          <w:rFonts w:ascii="Times New Roman" w:hAnsi="Times New Roman" w:cs="Times New Roman"/>
          <w:sz w:val="24"/>
          <w:szCs w:val="24"/>
        </w:rPr>
        <w:t xml:space="preserve">в) определять в </w:t>
      </w:r>
      <w:hyperlink r:id="rId10" w:history="1">
        <w:r w:rsidRPr="004807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48072D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Министерством энергетики Российской Федерации, значения соотноше</w:t>
      </w:r>
      <w:r w:rsidRPr="0048072D">
        <w:rPr>
          <w:rFonts w:ascii="Times New Roman" w:hAnsi="Times New Roman" w:cs="Times New Roman"/>
          <w:sz w:val="24"/>
          <w:szCs w:val="24"/>
        </w:rPr>
        <w:t>ния потребления активной и реактивной мощности для отдельных энергопринимающих устройств (групп энергопринимающих устройств), в отношении которых заключен договор, если документами о технологическом присоединении таких устройств предусмотрены требования к регулированию реактивной мощности, самостоятельно, если такие энергопринимающие устройства присоединены к объектам электросетевого хозяйства напряжением 35 кВ и ниже, а в случае если энергопринимающие устройства присоединены к объектам электросетевого хозяйства напряжением выше 35 кВ - с учетом заданных субъектом оперативно-диспетчерского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организации;</w:t>
      </w:r>
    </w:p>
    <w:p w14:paraId="3FFCACD4" w14:textId="77777777" w:rsidR="003659C3" w:rsidRPr="003659C3" w:rsidRDefault="003659C3" w:rsidP="003659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 порядке и сроки, установленные договором, информировать потребителя услуг (потребителя электрической энергии, в интересах которого заключается договор) об аварийных ситуациях в электрических сетях, ремонтных и профилактических работах, влияющих на исполнение обязательств по договору; </w:t>
      </w:r>
    </w:p>
    <w:p w14:paraId="5B7F1934" w14:textId="77777777" w:rsidR="003659C3" w:rsidRDefault="003659C3" w:rsidP="003659C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C3">
        <w:rPr>
          <w:rFonts w:ascii="Times New Roman" w:eastAsia="Times New Roman" w:hAnsi="Times New Roman" w:cs="Times New Roman"/>
          <w:sz w:val="24"/>
          <w:szCs w:val="24"/>
          <w:lang w:eastAsia="ru-RU"/>
        </w:rPr>
        <w:t>д) беспрепятственно допускать уполномоченных представителей потребителей услуг в пункты контроля и учета количества и качества электрической энергии, переданной данному потребителю, в порядке и с</w:t>
      </w:r>
      <w:r w:rsidR="0048072D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лучаях, установленных договором;</w:t>
      </w:r>
    </w:p>
    <w:p w14:paraId="35F6D814" w14:textId="77777777" w:rsidR="0048072D" w:rsidRPr="0048072D" w:rsidRDefault="0048072D" w:rsidP="0048072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D">
        <w:rPr>
          <w:rFonts w:ascii="Times New Roman" w:hAnsi="Times New Roman" w:cs="Times New Roman"/>
          <w:sz w:val="24"/>
          <w:szCs w:val="24"/>
        </w:rPr>
        <w:t xml:space="preserve">е) осуществлять коммерческий учет электрической энергии (мощности) на розничных рынках электрической энергии и для целей оказания коммунальных услуг по электроснабжению, </w:t>
      </w:r>
      <w:r w:rsidRPr="004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которых не осуществляется с использованием общего имущества в соответствии с </w:t>
      </w:r>
      <w:hyperlink r:id="rId11" w:history="1">
        <w:r w:rsidRPr="004807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480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коммунальных</w:t>
      </w:r>
      <w:r w:rsidRPr="0048072D">
        <w:rPr>
          <w:rFonts w:ascii="Times New Roman" w:hAnsi="Times New Roman" w:cs="Times New Roman"/>
          <w:sz w:val="24"/>
          <w:szCs w:val="24"/>
        </w:rPr>
        <w:t xml:space="preserve"> услуг </w:t>
      </w:r>
      <w:r w:rsidRPr="0048072D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домов", Основными </w:t>
      </w:r>
      <w:hyperlink r:id="rId12" w:history="1">
        <w:r w:rsidRPr="0048072D">
          <w:rPr>
            <w:rFonts w:ascii="Times New Roman" w:hAnsi="Times New Roman" w:cs="Times New Roman"/>
            <w:sz w:val="24"/>
            <w:szCs w:val="24"/>
          </w:rPr>
          <w:t>положениями</w:t>
        </w:r>
      </w:hyperlink>
      <w:r w:rsidRPr="0048072D">
        <w:rPr>
          <w:rFonts w:ascii="Times New Roman" w:hAnsi="Times New Roman" w:cs="Times New Roman"/>
          <w:sz w:val="24"/>
          <w:szCs w:val="24"/>
        </w:rPr>
        <w:t xml:space="preserve"> функционирования розничных рынков электрической энергии, утвержденными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энергии";</w:t>
      </w:r>
    </w:p>
    <w:p w14:paraId="59CC383A" w14:textId="7AE47636" w:rsidR="0048072D" w:rsidRPr="0048072D" w:rsidRDefault="0048072D" w:rsidP="0048072D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D">
        <w:rPr>
          <w:rFonts w:ascii="Times New Roman" w:hAnsi="Times New Roman" w:cs="Times New Roman"/>
          <w:sz w:val="24"/>
          <w:szCs w:val="24"/>
        </w:rPr>
        <w:t xml:space="preserve">ж) предоставление минимального функционала интеллектуальных систем учета электрической энергии (мощности) в порядке и случаях, которые установлены </w:t>
      </w:r>
      <w:hyperlink r:id="rId13" w:history="1">
        <w:r w:rsidRPr="0048072D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48072D">
        <w:rPr>
          <w:rFonts w:ascii="Times New Roman" w:hAnsi="Times New Roman" w:cs="Times New Roman"/>
          <w:sz w:val="24"/>
          <w:szCs w:val="24"/>
        </w:rPr>
        <w:t xml:space="preserve">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hyperlink r:id="rId14" w:history="1">
        <w:r w:rsidRPr="0048072D">
          <w:rPr>
            <w:rFonts w:ascii="Times New Roman" w:hAnsi="Times New Roman" w:cs="Times New Roman"/>
            <w:sz w:val="24"/>
            <w:szCs w:val="24"/>
          </w:rPr>
          <w:t>пунктом 1 статьи 21</w:t>
        </w:r>
      </w:hyperlink>
      <w:r w:rsidRPr="0048072D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электроэнергетике"</w:t>
      </w:r>
      <w:r w:rsidR="00830C44">
        <w:rPr>
          <w:rFonts w:ascii="Times New Roman" w:hAnsi="Times New Roman" w:cs="Times New Roman"/>
          <w:sz w:val="24"/>
          <w:szCs w:val="24"/>
        </w:rPr>
        <w:t xml:space="preserve"> от 23.11.2009 №261-ФЗ</w:t>
      </w:r>
      <w:r w:rsidRPr="0048072D">
        <w:rPr>
          <w:rFonts w:ascii="Times New Roman" w:hAnsi="Times New Roman" w:cs="Times New Roman"/>
          <w:sz w:val="24"/>
          <w:szCs w:val="24"/>
        </w:rPr>
        <w:t>;</w:t>
      </w:r>
    </w:p>
    <w:p w14:paraId="0A95F56C" w14:textId="77777777" w:rsidR="0048072D" w:rsidRPr="0048072D" w:rsidRDefault="0048072D" w:rsidP="0048072D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72D">
        <w:rPr>
          <w:rFonts w:ascii="Times New Roman" w:hAnsi="Times New Roman" w:cs="Times New Roman"/>
          <w:sz w:val="24"/>
          <w:szCs w:val="24"/>
        </w:rPr>
        <w:t>з) обеспечивать проведение замеров на энергопринимающих устройствах (объектах электроэнергетики), в отношении которых заключен договор, и во всех точках поставки, в которых установлены и введены в эксплуатацию приборы учета (измерительные комплексы) начиная с 1 июля 2020 г.</w:t>
      </w:r>
    </w:p>
    <w:p w14:paraId="35F4D660" w14:textId="77777777" w:rsidR="0048072D" w:rsidRPr="003659C3" w:rsidRDefault="0048072D" w:rsidP="0048072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0E5D0" w14:textId="77777777" w:rsidR="00C71AFA" w:rsidRPr="00A64CFF" w:rsidRDefault="00C71AFA">
      <w:pPr>
        <w:rPr>
          <w:rFonts w:ascii="Times New Roman" w:hAnsi="Times New Roman" w:cs="Times New Roman"/>
        </w:rPr>
      </w:pPr>
    </w:p>
    <w:sectPr w:rsidR="00C71AFA" w:rsidRPr="00A64CFF" w:rsidSect="00A64CF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metriaLigh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1C57"/>
    <w:multiLevelType w:val="multilevel"/>
    <w:tmpl w:val="F1A0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780569"/>
    <w:multiLevelType w:val="multilevel"/>
    <w:tmpl w:val="7B70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5D39A4"/>
    <w:multiLevelType w:val="multilevel"/>
    <w:tmpl w:val="058A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66DDD"/>
    <w:multiLevelType w:val="multilevel"/>
    <w:tmpl w:val="058A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6B3D89"/>
    <w:multiLevelType w:val="multilevel"/>
    <w:tmpl w:val="E29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334FB"/>
    <w:multiLevelType w:val="hybridMultilevel"/>
    <w:tmpl w:val="C8B2C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18492">
    <w:abstractNumId w:val="0"/>
  </w:num>
  <w:num w:numId="2" w16cid:durableId="1155954187">
    <w:abstractNumId w:val="1"/>
  </w:num>
  <w:num w:numId="3" w16cid:durableId="1416897398">
    <w:abstractNumId w:val="3"/>
  </w:num>
  <w:num w:numId="4" w16cid:durableId="68964592">
    <w:abstractNumId w:val="4"/>
  </w:num>
  <w:num w:numId="5" w16cid:durableId="217136067">
    <w:abstractNumId w:val="5"/>
  </w:num>
  <w:num w:numId="6" w16cid:durableId="932058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9C3"/>
    <w:rsid w:val="000B4568"/>
    <w:rsid w:val="00254AFF"/>
    <w:rsid w:val="003634A0"/>
    <w:rsid w:val="003659C3"/>
    <w:rsid w:val="0048072D"/>
    <w:rsid w:val="005944A1"/>
    <w:rsid w:val="0073506A"/>
    <w:rsid w:val="00765D0F"/>
    <w:rsid w:val="00830C44"/>
    <w:rsid w:val="008427C8"/>
    <w:rsid w:val="008C1198"/>
    <w:rsid w:val="00A64CFF"/>
    <w:rsid w:val="00A73655"/>
    <w:rsid w:val="00C65431"/>
    <w:rsid w:val="00C71AFA"/>
    <w:rsid w:val="00E7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1A11"/>
  <w15:chartTrackingRefBased/>
  <w15:docId w15:val="{64611E54-F775-4509-8360-3DBD092D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9C3"/>
    <w:pPr>
      <w:spacing w:after="100" w:afterAutospacing="1" w:line="390" w:lineRule="atLeast"/>
    </w:pPr>
    <w:rPr>
      <w:rFonts w:ascii="GeometriaLight" w:eastAsia="Times New Roman" w:hAnsi="GeometriaLight" w:cs="Times New Roman"/>
      <w:color w:val="54565C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2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BFA661204ECE3C9BEC42E72C4D5DFD44222BC8C6DF40FAA468B68588322F17C888A42D21466201C5763964A2F30A67480C3BBCFDF7762XBC4L" TargetMode="External"/><Relationship Id="rId13" Type="http://schemas.openxmlformats.org/officeDocument/2006/relationships/hyperlink" Target="consultantplus://offline/ref=A860A11541A24573FBE45BDAD287B32604128F6407F4E6CD76AED0CAD59D1CD0A6CA9AB9015D217BCE68D86650EE85FC0D45F4AFF3C9C686R3L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6B7DC2012A416B96FE985BA03442DE788A0D969A0B2E5B171E963AD871561DC0B8B6CF01AF8162EBA753D60F8DEF9276F8DBAF2BDDn2s0K" TargetMode="External"/><Relationship Id="rId12" Type="http://schemas.openxmlformats.org/officeDocument/2006/relationships/hyperlink" Target="consultantplus://offline/ref=A860A11541A24573FBE45BDAD287B32604128E660FF4E6CD76AED0CAD59D1CD0A6CA9AB9015D217CCC68D86650EE85FC0D45F4AFF3C9C686R3LD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6B7DC2012A416B96FE985BA03442DE788A0D969A0B2E5B171E963AD871561DC0B8B6CC05AA836CBBFD43D246D9EB8D7FE4C5AF35DD21CFn9s8K" TargetMode="External"/><Relationship Id="rId11" Type="http://schemas.openxmlformats.org/officeDocument/2006/relationships/hyperlink" Target="consultantplus://offline/ref=A860A11541A24573FBE45BDAD287B32604128B640EF7E6CD76AED0CAD59D1CD0A6CA9AB9015D2179CC68D86650EE85FC0D45F4AFF3C9C686R3LDL" TargetMode="External"/><Relationship Id="rId5" Type="http://schemas.openxmlformats.org/officeDocument/2006/relationships/hyperlink" Target="consultantplus://offline/ref=A46B7DC2012A416B96FE985BA03442DE788A0D969A0B2E5B171E963AD871561DC0B8B6CC05AA826DBFFD43D246D9EB8D7FE4C5AF35DD21CFn9s8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CEF95BA67B4C85C0C4F59A309F7DB208CFD677974E18EF3EE7242C75C4E1425E27B4305FCD5DC41833494C348886173E732E47F86506E7CR2K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477AFAA9EBA54F17AA6C4A2587609B6191E6EC9910E9B93112DE701237A3DF27593D6325D9BFC6346F1DFABFDC645DB0BC132C7A0B10214t5H2L" TargetMode="External"/><Relationship Id="rId14" Type="http://schemas.openxmlformats.org/officeDocument/2006/relationships/hyperlink" Target="consultantplus://offline/ref=A860A11541A24573FBE45BDAD287B3260410856D0EF1E6CD76AED0CAD59D1CD0A6CA9AB9015D277DCA68D86650EE85FC0D45F4AFF3C9C686R3L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Филлиппова Татьяна Владимировна</dc:creator>
  <cp:keywords/>
  <dc:description/>
  <cp:lastModifiedBy>Технологии Энергии</cp:lastModifiedBy>
  <cp:revision>11</cp:revision>
  <dcterms:created xsi:type="dcterms:W3CDTF">2017-03-29T08:20:00Z</dcterms:created>
  <dcterms:modified xsi:type="dcterms:W3CDTF">2022-11-11T12:05:00Z</dcterms:modified>
</cp:coreProperties>
</file>